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276"/>
        <w:gridCol w:w="1529"/>
        <w:gridCol w:w="1712"/>
      </w:tblGrid>
      <w:tr w:rsidR="00000000">
        <w:trPr>
          <w:trHeight w:val="27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1e88c66e1"/>
              </w:rPr>
              <w:t>ПОЯСНИТЕЛЬНАЯ ЗАПИСКА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КОДЫ</w:t>
            </w:r>
          </w:p>
        </w:tc>
      </w:tr>
      <w:tr w:rsidR="00000000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7c1f8b9d"/>
            </w:pPr>
            <w:r>
              <w:rPr>
                <w:rStyle w:val="cs5ace105b1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c0f5598e"/>
            </w:pPr>
            <w:r>
              <w:rPr>
                <w:rStyle w:val="cs5ace105b1"/>
              </w:rPr>
              <w:t>0503760</w:t>
            </w:r>
          </w:p>
        </w:tc>
      </w:tr>
      <w:tr w:rsidR="00000000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                          на   1 января 2019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7c1f8b9d"/>
            </w:pPr>
            <w:r>
              <w:rPr>
                <w:rStyle w:val="cs5ace105b1"/>
              </w:rPr>
              <w:t> Дата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01.01.2019</w:t>
            </w:r>
          </w:p>
        </w:tc>
      </w:tr>
      <w:tr w:rsidR="00000000">
        <w:trPr>
          <w:trHeight w:val="282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 xml:space="preserve">Учреждение </w:t>
            </w:r>
            <w:r>
              <w:rPr>
                <w:rStyle w:val="cs1c11a8881"/>
              </w:rPr>
              <w:t>Государственное бюджетное учреждение здравоохранения Псковской области "Хоспис имени святой Марфы-Марии"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7c1f8b9d"/>
            </w:pPr>
            <w:r>
              <w:rPr>
                <w:rStyle w:val="cs5ace105b1"/>
              </w:rPr>
              <w:t xml:space="preserve">по ОКПО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53466017</w:t>
            </w:r>
          </w:p>
        </w:tc>
      </w:tr>
      <w:tr w:rsidR="00000000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430a9416"/>
            </w:pPr>
            <w:r>
              <w:rPr>
                <w:rStyle w:val="cs5ace105b1"/>
              </w:rPr>
              <w:t>Обособленное подразделение 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</w:tr>
      <w:tr w:rsidR="00000000">
        <w:trPr>
          <w:trHeight w:val="42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>Учредитель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7c1f8b9d"/>
            </w:pPr>
            <w:r>
              <w:rPr>
                <w:rStyle w:val="cs5ace105b1"/>
              </w:rPr>
              <w:t xml:space="preserve">по ОКТМО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430a9416"/>
            </w:pPr>
            <w:r>
              <w:rPr>
                <w:rStyle w:val="cs5ace105b1"/>
              </w:rPr>
              <w:t xml:space="preserve">Наименование органа,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</w:tr>
      <w:tr w:rsidR="00000000">
        <w:trPr>
          <w:trHeight w:val="21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430a9416"/>
            </w:pPr>
            <w:r>
              <w:rPr>
                <w:rStyle w:val="cs5ace105b1"/>
              </w:rPr>
              <w:t>осуществляющего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a33de675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cdf190b1"/>
            </w:pPr>
            <w:r>
              <w:rPr>
                <w:rStyle w:val="cs5ace105b1"/>
              </w:rPr>
              <w:t xml:space="preserve">по ОКПО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c0f5598e"/>
            </w:pPr>
            <w:r>
              <w:rPr>
                <w:rStyle w:val="cs5ace105b1"/>
              </w:rPr>
              <w:t>53466017</w:t>
            </w:r>
          </w:p>
        </w:tc>
      </w:tr>
      <w:tr w:rsidR="00000000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 xml:space="preserve">полномочия учредителя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7c1f8b9d"/>
            </w:pPr>
            <w:r>
              <w:rPr>
                <w:rStyle w:val="cs5ace105b1"/>
              </w:rPr>
              <w:t xml:space="preserve">Глава по БК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839</w:t>
            </w:r>
          </w:p>
        </w:tc>
      </w:tr>
      <w:tr w:rsidR="00000000">
        <w:trPr>
          <w:trHeight w:val="28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>Периодичность:    квартальная, годовая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32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>к Балансу по форме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0503730</w:t>
            </w:r>
          </w:p>
        </w:tc>
      </w:tr>
      <w:tr w:rsidR="00000000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5ace105b1"/>
              </w:rPr>
              <w:t>Единица измерения: руб.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bbdd4ae1"/>
            </w:pPr>
            <w:r>
              <w:rPr>
                <w:rStyle w:val="cs5ace105b1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5ace105b1"/>
              </w:rPr>
              <w:t>383</w:t>
            </w:r>
          </w:p>
        </w:tc>
      </w:tr>
      <w:tr w:rsidR="00000000">
        <w:trPr>
          <w:trHeight w:val="2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</w:tbl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1027841"/>
        </w:rPr>
        <w:t>Раздел 1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 xml:space="preserve">Организационная структура учреждения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ГБУЗ Псковской области «Хоспис имени святой Марфы-Мари</w:t>
      </w:r>
      <w:bookmarkStart w:id="0" w:name="_GoBack"/>
      <w:bookmarkEnd w:id="0"/>
      <w:r>
        <w:rPr>
          <w:rStyle w:val="cs23fb06641"/>
        </w:rPr>
        <w:t xml:space="preserve">и» </w:t>
      </w:r>
      <w:r>
        <w:rPr>
          <w:rStyle w:val="cs23fb06641"/>
        </w:rPr>
        <w:t>является юридическим лицом с момента государственной регистрации, имеет самостоятельный баланс, обособленное имущество, лицевые счета в территориальном органе Федерального казначейства. Учреждение осуществляет деятельность по адресу: г. Псков, ул. Свердлов</w:t>
      </w:r>
      <w:r>
        <w:rPr>
          <w:rStyle w:val="cs23fb06641"/>
        </w:rPr>
        <w:t>а, д.20. Предметом деятельности учреждения является лечение и оказание паллиативной медицинской помощи онкологическим больным и больным с глубокими неврологическими нарушениями, нарушениями жизненно важных функций независимо от возрастных категорий. При ок</w:t>
      </w:r>
      <w:r>
        <w:rPr>
          <w:rStyle w:val="cs23fb06641"/>
        </w:rPr>
        <w:t>азании паллиативной медицинской помощи организуются и выполняются следующие работы (услуги): оказание паллиативной медицинской помощи в амбулаторных условиях по онкологии, сестринскому делу. С ноября 2015 года вступил в действие приказ Государственного ком</w:t>
      </w:r>
      <w:r>
        <w:rPr>
          <w:rStyle w:val="cs23fb06641"/>
        </w:rPr>
        <w:t>итета Псковской области по здравоохранению и фармации от 30.10.2015г. №1022 "Об организации выездной патронажной службы паллиативной медицинской помощи взрослому населению".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Коечный фонд составляет 35 коек. На 31.12.2018 г. штатная численность составляет 91,75 единиц, фактическая численность 49 человек (основные работники на 01.01.2019г.). Из них по категориям: врачи – штатная 9,25, фактическая 2; средний медперсонал – штатная</w:t>
      </w:r>
      <w:r>
        <w:rPr>
          <w:rStyle w:val="cs23fb06641"/>
        </w:rPr>
        <w:t xml:space="preserve"> 31,75, фактическая 18; младший медперсонал – штатная 27,75, фактическая 18; прочий - штатная 23, фактическая 11.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Правовое обоснование деятельности учреждения отражено в таблице №1. Предпринимательской деятельности учреждение не ведет, медицинских услуг</w:t>
      </w:r>
      <w:r>
        <w:rPr>
          <w:rStyle w:val="cs23fb06641"/>
        </w:rPr>
        <w:t xml:space="preserve"> по программе ОМС не оказывает.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Обособленных подразделений нет, поэтому ф.0503761 не представлена.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1027841"/>
        </w:rPr>
        <w:t>Раздел 2</w:t>
      </w:r>
    </w:p>
    <w:p w:rsidR="00000000" w:rsidRDefault="00F151B2">
      <w:pPr>
        <w:pStyle w:val="cs2654ae3a"/>
      </w:pPr>
      <w:r>
        <w:rPr>
          <w:rStyle w:val="cs23fb06641"/>
        </w:rPr>
        <w:lastRenderedPageBreak/>
        <w:t> </w:t>
      </w:r>
    </w:p>
    <w:p w:rsidR="00000000" w:rsidRDefault="00F151B2">
      <w:pPr>
        <w:pStyle w:val="cs2654ae3a"/>
      </w:pPr>
      <w:r>
        <w:rPr>
          <w:rStyle w:val="cs23fb06641"/>
        </w:rPr>
        <w:t>Результаты деятельности учреждения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Стоимость койко-дня по фактическим расходам из всех источников финансирования составила 2402,61 руб.</w:t>
      </w:r>
      <w:r>
        <w:rPr>
          <w:rStyle w:val="cs23fb06641"/>
        </w:rPr>
        <w:t xml:space="preserve"> В том числе по медикаментам 168,36 руб., по питанию 135,55 руб., что соответствует плану финансово- хозяйственной деятельности.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Стоимость 1 посещения выездной патронажной службы по фактическим расходам составила 1174,62 руб.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a4a7cb2"/>
      </w:pPr>
      <w:r>
        <w:rPr>
          <w:rStyle w:val="cs1027841"/>
        </w:rPr>
        <w:t>Раздел 3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Анализ отчета</w:t>
      </w:r>
      <w:r>
        <w:rPr>
          <w:rStyle w:val="cs23fb06641"/>
        </w:rPr>
        <w:t xml:space="preserve"> об исполнении учреждением плана деятельности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Объем государственного задания по стационару на 2018 год по плану - 11900 к/дн., фактическое исполнение - 11935 к/дн., что составляет 100,3%. Объем государственного задания по выездной службе на 2018 год по</w:t>
      </w:r>
      <w:r>
        <w:rPr>
          <w:rStyle w:val="cs23fb06641"/>
        </w:rPr>
        <w:t xml:space="preserve"> плану - 1730 посещений, фактическое исполнение - 1795 посещений, что составляет 103,8%.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Государственное задание профинансировано на 100%. Кассовое исполнение плана ФХД составило 99,96%.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Мероприятия в рамках субсидий на иные цели в 2018г. запланированы в объеме 20000,00 рублей, и профинансированы на 100 % на 01.01.2019г. Кассовое исполнение составило так же 100%. В рамках субсидии на иные цели было приобретено холодильное оборудование (1 ш</w:t>
      </w:r>
      <w:r>
        <w:rPr>
          <w:rStyle w:val="cs23fb06641"/>
        </w:rPr>
        <w:t>т.). Сведения об исполнении мероприятий по субсидии на иные цели представлены в формах 0503766 и 0503162.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Объем утвержденных плановых назначений по приносящей доход деятельности (собственные доходы учреждения) исполнен (профинансирован) на 100%. Поступле</w:t>
      </w:r>
      <w:r>
        <w:rPr>
          <w:rStyle w:val="cs23fb06641"/>
        </w:rPr>
        <w:t xml:space="preserve">ния средств по КФО 2 «Собственные доходы учреждения» на 01.01.2019г. составили </w:t>
      </w:r>
      <w:r>
        <w:rPr>
          <w:rStyle w:val="cs1027841"/>
        </w:rPr>
        <w:t>902000,00 рублей в результате поступления</w:t>
      </w:r>
      <w:r>
        <w:rPr>
          <w:rStyle w:val="cs23fb06641"/>
        </w:rPr>
        <w:t xml:space="preserve"> </w:t>
      </w:r>
      <w:r>
        <w:rPr>
          <w:rStyle w:val="cs1027841"/>
        </w:rPr>
        <w:t>на лицевой счет учреждения благотворительного пожертвования от Благотворительного фонда помощи хосписам "Вера" (г.Москва)</w:t>
      </w:r>
      <w:r>
        <w:rPr>
          <w:rStyle w:val="cs23fb06641"/>
        </w:rPr>
        <w:t xml:space="preserve"> в рамках дого</w:t>
      </w:r>
      <w:r>
        <w:rPr>
          <w:rStyle w:val="cs23fb06641"/>
        </w:rPr>
        <w:t>вора оказания материально-технической поддержки Хосписа, в том числе выездной патронажной службы. Сумма благотворительного пожертвования отражена в ф. 0503721 по стр.104 гр.6. Средства фонда «Вера» были потрачены на годовое содержание выездной службы в сум</w:t>
      </w:r>
      <w:r>
        <w:rPr>
          <w:rStyle w:val="cs23fb06641"/>
        </w:rPr>
        <w:t>ме 880000,0 рублей, а также на приобретение медицинского оборудования (дистиллятора) в сумме 22000,00 рублей.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Кассовое исполнение плана ФХД по приносящей доход деятельности составило 100%.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a4a7cb2"/>
      </w:pPr>
      <w:r>
        <w:rPr>
          <w:rStyle w:val="cs1027841"/>
        </w:rPr>
        <w:t>Раздел 4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Анализ показателей отчетности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Сведения о движении нефинансовых активов представлены в форме 0503768.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lastRenderedPageBreak/>
        <w:t>Стоимость основных средств из всех источников на начало 2018 года составляла 13026733,62 руб., на конец года 16788732,72 руб., из них недвижимое имущество 3660716,25 руб. Особо ценное</w:t>
      </w:r>
      <w:r>
        <w:rPr>
          <w:rStyle w:val="cs23fb06641"/>
        </w:rPr>
        <w:t xml:space="preserve"> движимое имущество на начало года 1981161,17 руб., на конец года 4792497,84 руб. В 2018 году произошло списание основных средств на сумму 228733,57 рублей, в том числе объектов особо ценного имущества на сумму 0,00 рублей. Амортизация ОС в целом на 01.01.</w:t>
      </w:r>
      <w:r>
        <w:rPr>
          <w:rStyle w:val="cs23fb06641"/>
        </w:rPr>
        <w:t>2019г. составляет 73,0%.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Структура основных средств на конец года: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Недвижимое имущество – нежилые помещения 3660716,25 руб. (амортизация 60,9%)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Особо ценное движимое имущество – машины и оборудование 4736226,68 руб. (амортизация 62,1%); производствен</w:t>
      </w:r>
      <w:r>
        <w:rPr>
          <w:rStyle w:val="cs23fb06641"/>
        </w:rPr>
        <w:t>ный и хозяйственный инвентарь 56271,16 руб. (амортизация 100%).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Иное движимое имущество – нежилые помещения 90846,00 руб. (амортизация 100%); машины и оборудование 1794218,45 руб. (амортизация 87,8%); транспортные средства 1662500,00 руб. (амортизация 76</w:t>
      </w:r>
      <w:r>
        <w:rPr>
          <w:rStyle w:val="cs23fb06641"/>
        </w:rPr>
        <w:t>%); производственный и хозяйственный инвентарь 4787954,18 руб. (амортизация 85,8%).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За счет бюджетных средств в 2018 году приобретено оборудования на сумму 20000,0 рублей. За счет собственных доходов учреждения (благотворительная помощь) приобретено осно</w:t>
      </w:r>
      <w:r>
        <w:rPr>
          <w:rStyle w:val="cs23fb06641"/>
        </w:rPr>
        <w:t xml:space="preserve">вных средств на сумму 22000,0 рублей.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В виде безвозмездных пожертвований от Псковской городской общественной организация "Круг друзей ГУЗ "Хоспис имени святой Марфы-Марии" всего за год поступило основных средств (оборудование, хозяйственный инвентарь) н</w:t>
      </w:r>
      <w:r>
        <w:rPr>
          <w:rStyle w:val="cs23fb06641"/>
        </w:rPr>
        <w:t>а сумму 233894,50 рублей.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1027841"/>
        </w:rPr>
        <w:t xml:space="preserve">За период с сентября по декабрь 2018 года в учреждение поступили основные средства (медицинское оборудование), приобретенные Государственным комитетом Псковской области по здравоохранению и фармации в централизованном порядке в </w:t>
      </w:r>
      <w:r>
        <w:rPr>
          <w:rStyle w:val="cs1027841"/>
        </w:rPr>
        <w:t>целях реализации мероприятий, направленных на развитие паллиативной медицинской помощи. Общая стоимость поступившего оборудования составила 4426338,17 рублей. Из них на 01.01.2019г. на баланс учреждения принято основных средств на сумму 4002392,92 рублей (</w:t>
      </w:r>
      <w:r>
        <w:rPr>
          <w:rStyle w:val="cs1027841"/>
        </w:rPr>
        <w:t>в том числе особо ценное движимое имущество на сумму 2811336,67 рублей); на забалансовом счёте 22 учитывается основных средств на сумму 423945,25 рублей. Движение средств представлено в разделе 3 формы 0502768.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Стоимость материальных запасов из всех исто</w:t>
      </w:r>
      <w:r>
        <w:rPr>
          <w:rStyle w:val="cs23fb06641"/>
        </w:rPr>
        <w:t>чников на начало года составляла 1582134,12 руб., на конец года 1028952,23 руб. Произошло значительное уменьшение остатков по медикаментам на 400,9 тыс. рублей в условиях экономии бюджетных средств, недостаточности финансирования и уменьшения объема безвоз</w:t>
      </w:r>
      <w:r>
        <w:rPr>
          <w:rStyle w:val="cs23fb06641"/>
        </w:rPr>
        <w:t>мездных поступлений. Остатки по предметам мягкого инвентаря уменьшились на 80,0 тыс. рублей, по прочим материальным запасам – на 81,9 тыс. рублей вследствие списания объектов в течение года (закупка их планируется в следующем году). Незначительно уменьшили</w:t>
      </w:r>
      <w:r>
        <w:rPr>
          <w:rStyle w:val="cs23fb06641"/>
        </w:rPr>
        <w:t>сь остатки ГСМ на 0,7 тыс. рублей.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Увеличение остатков произошло по продуктам питания на 10,4 тыс. рублей с целью обеспечения бесперебойной работы учреждения в начале 2019 года.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lastRenderedPageBreak/>
        <w:t>Всего в учреждение за отчетный год поступило ( в т.ч. безвозмездные пожертвования) медикаментов на сумму 1400106,90 руб., продуктов питания на сумму 1628313,62 руб., горюче-смазочных материалов на сумму 157008,0 руб., мягкого инвентаря на сумму 8610,0 руб.</w:t>
      </w:r>
      <w:r>
        <w:rPr>
          <w:rStyle w:val="cs23fb06641"/>
        </w:rPr>
        <w:t>, моющих средств, канцелярских товаров и прочих материальных запасов на сумму 436249,05 руб. Израсходовано и списано на нужды учреждения медикаментов на сумму 1801032,26 руб., продуктов питания на сумму 1617904,51 руб., горюче-смазочных материалов 157772,2</w:t>
      </w:r>
      <w:r>
        <w:rPr>
          <w:rStyle w:val="cs23fb06641"/>
        </w:rPr>
        <w:t>9 руб., мягкого инвентаря 88572,65 руб., прочих материальных запасов 518187,75 руб.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Итого за 2018 год учреждение получило доход в виде безвозмездных поступлений (не облагаемый налогом на прибыль) на общую сумму </w:t>
      </w:r>
      <w:r>
        <w:rPr>
          <w:rStyle w:val="cs1027841"/>
        </w:rPr>
        <w:t>6391353,10</w:t>
      </w:r>
      <w:r>
        <w:rPr>
          <w:rStyle w:val="cs23fb06641"/>
        </w:rPr>
        <w:t xml:space="preserve"> рублей, что отражено в стр. 10</w:t>
      </w:r>
      <w:r>
        <w:rPr>
          <w:rStyle w:val="cs23fb06641"/>
        </w:rPr>
        <w:t>4 гр. 5 и гр. 6 формы 0503721 и в форме 0503710 по оборотам счетов 440110189, 240110189. Предметами безвозмездных поступлений являются: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1.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087"/>
        <w:gridCol w:w="3138"/>
      </w:tblGrid>
      <w:tr w:rsidR="0000000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4 401 10 189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причина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Нефинансовые активы, всего, в том числе по счетам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1027841"/>
              </w:rPr>
              <w:t>5489353,10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4101000000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4236287,42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Безвозмездные поступления в виде объектов основных средств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7c1f8b9d"/>
            </w:pPr>
            <w:r>
              <w:rPr>
                <w:rStyle w:val="cs23fb06641"/>
              </w:rPr>
              <w:t>в том числе: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4002392,92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23fb06641"/>
              </w:rPr>
              <w:t>Безвозмездные поступления основных средств по централизованному снабжению от ГКПО по здравоохранению и фармации</w:t>
            </w:r>
          </w:p>
        </w:tc>
      </w:tr>
      <w:tr w:rsidR="00000000">
        <w:trPr>
          <w:trHeight w:val="736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410500000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808853,78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Безвозмездные поступления в виде медикаментов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410500000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118592,75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Безвозмездные поступления в виде продуктов питания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410500000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325619,15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Безвозмездные поступления в виде прочих материальных запасов</w:t>
            </w:r>
          </w:p>
        </w:tc>
      </w:tr>
    </w:tbl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2.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3089"/>
        <w:gridCol w:w="3144"/>
      </w:tblGrid>
      <w:tr w:rsidR="0000000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2 401 10 189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причина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Финансовые активы, всего, в том числе по счетам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1027841"/>
              </w:rPr>
              <w:t>902000,00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</w:tr>
      <w:tr w:rsidR="00000000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d270a203"/>
            </w:pPr>
            <w:r>
              <w:rPr>
                <w:rStyle w:val="cs23fb06641"/>
              </w:rPr>
              <w:t>220589560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902000,00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151B2">
            <w:pPr>
              <w:pStyle w:val="cs2654ae3a"/>
            </w:pPr>
            <w:r>
              <w:rPr>
                <w:rStyle w:val="cs23fb06641"/>
              </w:rPr>
              <w:t>Безвозмездные поступления денежных средств на лицевой счет учреждения ( спонсорские пожертвования от</w:t>
            </w:r>
            <w:r>
              <w:rPr>
                <w:rStyle w:val="cs1027841"/>
              </w:rPr>
              <w:t xml:space="preserve"> </w:t>
            </w:r>
            <w:r>
              <w:rPr>
                <w:rStyle w:val="cs23fb06641"/>
              </w:rPr>
              <w:t>благотворительного фонда помощи хосписам "Вера" (г.Москва)</w:t>
            </w:r>
          </w:p>
        </w:tc>
      </w:tr>
    </w:tbl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lastRenderedPageBreak/>
        <w:t>На 01.01.2</w:t>
      </w:r>
      <w:r>
        <w:rPr>
          <w:rStyle w:val="cs23fb06641"/>
        </w:rPr>
        <w:t xml:space="preserve">019г. дебиторская задолженность по субсидии на выполнение государственного задания составила </w:t>
      </w:r>
      <w:r>
        <w:rPr>
          <w:rStyle w:val="cs1027841"/>
        </w:rPr>
        <w:t>12632,73</w:t>
      </w:r>
      <w:r>
        <w:rPr>
          <w:rStyle w:val="cs23fb06641"/>
        </w:rPr>
        <w:t xml:space="preserve"> рублей. Из них: </w:t>
      </w:r>
      <w:r>
        <w:rPr>
          <w:rStyle w:val="cs1027841"/>
        </w:rPr>
        <w:t>12401,73</w:t>
      </w:r>
      <w:r>
        <w:rPr>
          <w:rStyle w:val="cs23fb06641"/>
        </w:rPr>
        <w:t xml:space="preserve"> рублей по расчетам с «ГУ - Псковское региональное отделение Фонда социального страхования РФ» (за счет не восстановленных расходо</w:t>
      </w:r>
      <w:r>
        <w:rPr>
          <w:rStyle w:val="cs23fb06641"/>
        </w:rPr>
        <w:t xml:space="preserve">в по больничным листам), </w:t>
      </w:r>
      <w:r>
        <w:rPr>
          <w:rStyle w:val="cs1027841"/>
        </w:rPr>
        <w:t>231,00</w:t>
      </w:r>
      <w:r>
        <w:rPr>
          <w:rStyle w:val="cs23fb06641"/>
        </w:rPr>
        <w:t xml:space="preserve"> рублей по расчетам с Государственным комитетом Псковской области по здравоохранению и фармации в части неисполненного финансового обеспечения (недофинансирования) по субсидии на выполнение государственного задания за 2018 го</w:t>
      </w:r>
      <w:r>
        <w:rPr>
          <w:rStyle w:val="cs23fb06641"/>
        </w:rPr>
        <w:t>д. При этом государственное задание за 2018 год выполнено в полном объеме. Форма 0503769 «Сведения о дебиторской задолженности» прилагается.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На 01.01.2019г. дебиторская задолженность по приносящей доход деятельности в сумме </w:t>
      </w:r>
      <w:r>
        <w:rPr>
          <w:rStyle w:val="cs1027841"/>
        </w:rPr>
        <w:t>3897,44</w:t>
      </w:r>
      <w:r>
        <w:rPr>
          <w:rStyle w:val="cs23fb06641"/>
        </w:rPr>
        <w:t xml:space="preserve"> рублей сложилась по ра</w:t>
      </w:r>
      <w:r>
        <w:rPr>
          <w:rStyle w:val="cs23fb06641"/>
        </w:rPr>
        <w:t>счетам с «ГУ-Псковское региональное отделение Фонда социального страхования РФ» (за счет не восстановленных расходов по больничным листам). Форма 0503769 «Сведения о дебиторской задолженности» прилагается.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Кредиторская задолженность по приносящей доход д</w:t>
      </w:r>
      <w:r>
        <w:rPr>
          <w:rStyle w:val="cs23fb06641"/>
        </w:rPr>
        <w:t>еятельности на 01.01.2019г. отсутствует.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 xml:space="preserve">Кредиторская задолженность по субсидии на выполнение государственного задания на 01.01.2019 г. в общей сумме </w:t>
      </w:r>
      <w:r>
        <w:rPr>
          <w:rStyle w:val="cs1027841"/>
        </w:rPr>
        <w:t>4432,48</w:t>
      </w:r>
      <w:r>
        <w:rPr>
          <w:rStyle w:val="cs23fb06641"/>
        </w:rPr>
        <w:t xml:space="preserve"> рублей сложилась по следующим статьям расходов: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 xml:space="preserve">225 « Услуги по содержанию имущества» </w:t>
      </w:r>
      <w:r>
        <w:rPr>
          <w:rStyle w:val="cs23fb06641"/>
        </w:rPr>
        <w:t>в сумме 2100,0 р.;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 xml:space="preserve">340 «Увеличение стоимости материальных запасов» в сумме 2332,48 р.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Просроченная задолженность отсутствует.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Договора и государственные контракты на поставку товаров, работ, услуг на 2018 год заключены в пределах утвержденных плановых назначений, согласно потребностям учреждения. Из общего числа, объем закупок с применением конкурентных способов по всем видам фин</w:t>
      </w:r>
      <w:r>
        <w:rPr>
          <w:rStyle w:val="cs23fb06641"/>
        </w:rPr>
        <w:t>ансового обеспечения составил 2185840,25 рублей. Экономия в результате применения конкурентных способов составила 224498,98 рублей, что отражено в форме 0503775 «Сведения о принятых и неисполненных обязательствах».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Аналитическая информация о неисполненны</w:t>
      </w:r>
      <w:r>
        <w:rPr>
          <w:rStyle w:val="cs23fb06641"/>
        </w:rPr>
        <w:t>х обязательствах представлена в форме 0503775 «Сведения о принятых и неисполненных обязательствах» с детализацией по контрагентам. Сумма неисполненных бюджетных и денежных обязательств составила 4432,48 рублей на 01.01.2019г. Причина неисполнения обязатель</w:t>
      </w:r>
      <w:r>
        <w:rPr>
          <w:rStyle w:val="cs23fb06641"/>
        </w:rPr>
        <w:t>ств – отсутствие технической возможности оплаты счетов, поступивших после 29.12.2018г.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Финансовых вложений, а также заимствований учреждение не осуществляло и, соответственно, формы 0503771 «Сведения о финансовых вложениях» и 0503772 «Сведения о суммах</w:t>
      </w:r>
      <w:r>
        <w:rPr>
          <w:rStyle w:val="cs23fb06641"/>
        </w:rPr>
        <w:t xml:space="preserve"> заимствований» не предоставляются.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Остаток денежных средств на лицевом счете в УФК по Псковской области по субсидии на выполнение государственного задания на начало года составлял 0,00 руб., на 01.01.2019 г. - 9182,01 руб., что отражено в форме 0503779</w:t>
      </w:r>
      <w:r>
        <w:rPr>
          <w:rStyle w:val="cs23fb06641"/>
        </w:rPr>
        <w:t>. Остаток образовался по причине 100% финансирования государственного задания, но отсутствия технической возможности оплаты счетов, поступивших после 29.12.2018г.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lastRenderedPageBreak/>
        <w:t>Остаток денежных средств на лицевом счете в УФК по Псковской области по собственным доходам</w:t>
      </w:r>
      <w:r>
        <w:rPr>
          <w:rStyle w:val="cs23fb06641"/>
        </w:rPr>
        <w:t xml:space="preserve"> учреждения на начало года составлял 0,00 руб., на 01.01.2019г. - 0,0 руб. Остаток денежных средств на специальном лицевом счете по субсидии на иные цели на начало года составлял 0,00 руб., на 01.01.2019 г. 0,0 руб.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Остаток денежных средств во временном </w:t>
      </w:r>
      <w:r>
        <w:rPr>
          <w:rStyle w:val="cs23fb06641"/>
        </w:rPr>
        <w:t xml:space="preserve">распоряжении на лицевом счете в УФК по Псковской области на начало 2018 года составлял 92758,55 руб., на 01.01.2019г. составил 96576,92 руб., что отражено в форме 0503779. Этот остаток будет устранен в сроки, установленные Приказом №44-ФЗ. Остаток средств </w:t>
      </w:r>
      <w:r>
        <w:rPr>
          <w:rStyle w:val="cs23fb06641"/>
        </w:rPr>
        <w:t xml:space="preserve">во временном распоряжении представляет собой сумму обеспечений исполнения контрактов от поставщиков товаров, работ, услуг, заключаемых аукционным способом. 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Информация о движении денежных средств учреждения в разрезе кодов КОСГУ представлена в Отчете ф. </w:t>
      </w:r>
      <w:r>
        <w:rPr>
          <w:rStyle w:val="cs23fb06641"/>
        </w:rPr>
        <w:t>0503723.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1027841"/>
        </w:rPr>
        <w:t>Раздел 5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Прочие вопросы деятельности учреждения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На 31.12.2018 года все средства на оплату отпусков и компенсаций за неиспользованный отпуск за 2018 г. израсходованы, поэтому строки 160 и 520 Баланса (ф. 0503730) на конец отчетного пе</w:t>
      </w:r>
      <w:r>
        <w:rPr>
          <w:rStyle w:val="cs23fb06641"/>
        </w:rPr>
        <w:t>риода не заполняются.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Особенности ведения учреждением бухгалтерского учета предоставлены в таблице № 4.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 xml:space="preserve">Таблица №6 «Сведения о проведении инвентаризаций» </w:t>
      </w:r>
      <w:r>
        <w:rPr>
          <w:rStyle w:val="cs23fb06641"/>
        </w:rPr>
        <w:t>не представляется, так как расхождений по результатам проведенной в срок годовой инвентаризации не выявлено.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Таблица №5 и таблица №7 не представляются, так как в 2018 году не проводились внутренние и внешние контрольные мероприятия органами государственн</w:t>
      </w:r>
      <w:r>
        <w:rPr>
          <w:rStyle w:val="cs23fb06641"/>
        </w:rPr>
        <w:t>ого (муниципального) финансового контроля, контрольно-счетными органами.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d270a203"/>
      </w:pPr>
      <w:r>
        <w:rPr>
          <w:rStyle w:val="cs23fb06641"/>
        </w:rPr>
        <w:t>На 01.01.2019г. сведения об исполнении судебных решений по денежным обязательствам учреждения (ф. 0503295) периода не заполняется, так как судебных решений за отчетный период учрежд</w:t>
      </w:r>
      <w:r>
        <w:rPr>
          <w:rStyle w:val="cs23fb06641"/>
        </w:rPr>
        <w:t>ению не поступало.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p w:rsidR="00000000" w:rsidRDefault="00F151B2">
      <w:pPr>
        <w:pStyle w:val="cs2654ae3a"/>
      </w:pPr>
      <w:r>
        <w:rPr>
          <w:rStyle w:val="cs23fb06641"/>
        </w:rPr>
        <w:t> </w:t>
      </w:r>
    </w:p>
    <w:tbl>
      <w:tblPr>
        <w:tblW w:w="9150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2040"/>
        <w:gridCol w:w="4380"/>
      </w:tblGrid>
      <w:tr w:rsidR="00000000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</w:tr>
      <w:tr w:rsidR="00000000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</w:tr>
      <w:tr w:rsidR="00000000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Руководитель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836eca4b1"/>
              </w:rPr>
              <w:t>Васильева Т.М.</w:t>
            </w:r>
          </w:p>
        </w:tc>
      </w:tr>
      <w:tr w:rsidR="00000000">
        <w:trPr>
          <w:trHeight w:val="28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(расшифровка подписи)</w:t>
            </w:r>
          </w:p>
        </w:tc>
      </w:tr>
      <w:tr w:rsidR="00000000">
        <w:trPr>
          <w:trHeight w:val="28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Руководитель планово-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экономической службы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(расшифровка подписи)</w:t>
            </w:r>
          </w:p>
        </w:tc>
      </w:tr>
      <w:tr w:rsidR="00000000">
        <w:trPr>
          <w:trHeight w:val="28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Главный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836eca4b1"/>
              </w:rPr>
              <w:t>Игнатенко В.В.</w:t>
            </w:r>
          </w:p>
        </w:tc>
      </w:tr>
      <w:tr w:rsidR="00000000">
        <w:trPr>
          <w:trHeight w:val="28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(расшифровка подписи)</w:t>
            </w:r>
          </w:p>
        </w:tc>
      </w:tr>
      <w:tr w:rsidR="00000000">
        <w:trPr>
          <w:trHeight w:val="449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</w:tbl>
    <w:p w:rsidR="00000000" w:rsidRDefault="00F151B2">
      <w:pPr>
        <w:rPr>
          <w:rFonts w:eastAsia="Times New Roman"/>
          <w:vanish/>
        </w:rPr>
      </w:pPr>
    </w:p>
    <w:tbl>
      <w:tblPr>
        <w:tblW w:w="97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7"/>
        <w:gridCol w:w="876"/>
        <w:gridCol w:w="1133"/>
        <w:gridCol w:w="284"/>
      </w:tblGrid>
      <w:tr w:rsidR="00000000">
        <w:trPr>
          <w:trHeight w:val="2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bfdd93d4"/>
            </w:pPr>
            <w:r>
              <w:rPr>
                <w:rStyle w:val="cs915265771"/>
              </w:rPr>
              <w:t>Централизованная бухгалтерия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ОГРН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82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ИНН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c69b11031"/>
              </w:rPr>
              <w:t>(наименование, местонахождение)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a4a7cb2"/>
            </w:pPr>
            <w:r>
              <w:rPr>
                <w:rStyle w:val="cs23fb06641"/>
              </w:rPr>
              <w:t>КПП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</w:tbl>
    <w:p w:rsidR="00000000" w:rsidRDefault="00F151B2">
      <w:pPr>
        <w:rPr>
          <w:rFonts w:eastAsia="Times New Roman"/>
          <w:vanish/>
        </w:rPr>
      </w:pPr>
    </w:p>
    <w:tbl>
      <w:tblPr>
        <w:tblW w:w="96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2584"/>
        <w:gridCol w:w="1964"/>
        <w:gridCol w:w="2541"/>
      </w:tblGrid>
      <w:tr w:rsidR="00000000">
        <w:trPr>
          <w:trHeight w:val="75"/>
          <w:tblCellSpacing w:w="7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8d9b5b0c1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___________________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8d9b5b0c1"/>
              </w:rPr>
              <w:t> </w:t>
            </w:r>
          </w:p>
        </w:tc>
      </w:tr>
      <w:tr w:rsidR="00000000">
        <w:trPr>
          <w:trHeight w:val="195"/>
          <w:tblCellSpacing w:w="7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(уполномоченное лицо)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(должность)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 xml:space="preserve">(подпись)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(расшифровка подписи)</w:t>
            </w:r>
          </w:p>
        </w:tc>
      </w:tr>
    </w:tbl>
    <w:p w:rsidR="00000000" w:rsidRDefault="00F151B2">
      <w:pPr>
        <w:rPr>
          <w:rFonts w:eastAsia="Times New Roman"/>
          <w:vanish/>
        </w:rPr>
      </w:pPr>
    </w:p>
    <w:tbl>
      <w:tblPr>
        <w:tblW w:w="1059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056"/>
        <w:gridCol w:w="2256"/>
        <w:gridCol w:w="2143"/>
        <w:gridCol w:w="1939"/>
      </w:tblGrid>
      <w:tr w:rsidR="00000000">
        <w:trPr>
          <w:trHeight w:val="343"/>
          <w:tblCellSpacing w:w="7" w:type="dxa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</w:tr>
      <w:tr w:rsidR="00000000">
        <w:trPr>
          <w:trHeight w:val="343"/>
          <w:tblCellSpacing w:w="7" w:type="dxa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Исполнитель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1c11a8881"/>
              </w:rPr>
              <w:t>Главный бухгалтер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572e7917"/>
            </w:pPr>
            <w:r>
              <w:rPr>
                <w:rStyle w:val="cs79da67e21"/>
              </w:rPr>
              <w:t>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47f446fc"/>
            </w:pPr>
            <w:r>
              <w:rPr>
                <w:rStyle w:val="cs1c11a8881"/>
              </w:rPr>
              <w:t>Игнатенко В.В.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1c11a8881"/>
              </w:rPr>
              <w:t>66-91-29</w:t>
            </w:r>
          </w:p>
        </w:tc>
      </w:tr>
      <w:tr w:rsidR="00000000">
        <w:trPr>
          <w:trHeight w:val="340"/>
          <w:tblCellSpacing w:w="7" w:type="dxa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daae5f71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(должность)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(расшифровка подписи)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a4a7cb2"/>
            </w:pPr>
            <w:r>
              <w:rPr>
                <w:rStyle w:val="cs79da67e21"/>
              </w:rPr>
              <w:t>(телефон, e-mail)</w:t>
            </w:r>
          </w:p>
        </w:tc>
      </w:tr>
      <w:tr w:rsidR="00000000">
        <w:trPr>
          <w:tblCellSpacing w:w="7" w:type="dxa"/>
        </w:trPr>
        <w:tc>
          <w:tcPr>
            <w:tcW w:w="105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c8f6d761"/>
              </w:rPr>
              <w:t> </w:t>
            </w:r>
          </w:p>
        </w:tc>
      </w:tr>
      <w:tr w:rsidR="00000000">
        <w:trPr>
          <w:tblCellSpacing w:w="7" w:type="dxa"/>
        </w:trPr>
        <w:tc>
          <w:tcPr>
            <w:tcW w:w="105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51B2">
            <w:pPr>
              <w:pStyle w:val="cs2654ae3a"/>
            </w:pPr>
            <w:r>
              <w:rPr>
                <w:rStyle w:val="cs79da67e21"/>
              </w:rPr>
              <w:t>"_____" _________________ 20 ____ г.</w:t>
            </w:r>
          </w:p>
        </w:tc>
      </w:tr>
    </w:tbl>
    <w:p w:rsidR="00F151B2" w:rsidRDefault="00F151B2">
      <w:pPr>
        <w:pStyle w:val="cs2654ae3a"/>
      </w:pPr>
    </w:p>
    <w:sectPr w:rsidR="00F1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6850"/>
    <w:rsid w:val="00396850"/>
    <w:rsid w:val="00F1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0A6D1-8BD2-4322-8BA0-969C08E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s20addc57">
    <w:name w:val="cs20addc57"/>
    <w:basedOn w:val="a"/>
    <w:pPr>
      <w:spacing w:before="100" w:beforeAutospacing="1" w:after="100" w:afterAutospacing="1"/>
      <w:ind w:left="93"/>
    </w:pPr>
  </w:style>
  <w:style w:type="paragraph" w:customStyle="1" w:styleId="csdea04ccb">
    <w:name w:val="csdea04ccb"/>
    <w:basedOn w:val="a"/>
    <w:pPr>
      <w:spacing w:before="100" w:beforeAutospacing="1" w:after="100" w:afterAutospacing="1"/>
    </w:pPr>
  </w:style>
  <w:style w:type="paragraph" w:customStyle="1" w:styleId="cs2a4a7cb2">
    <w:name w:val="cs2a4a7cb2"/>
    <w:basedOn w:val="a"/>
    <w:pPr>
      <w:jc w:val="center"/>
    </w:pPr>
  </w:style>
  <w:style w:type="paragraph" w:customStyle="1" w:styleId="cs1e88c66e">
    <w:name w:val="cs1e88c66e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919aff18">
    <w:name w:val="cs919aff18"/>
    <w:basedOn w:val="a"/>
    <w:pPr>
      <w:spacing w:before="100" w:beforeAutospacing="1" w:after="100" w:afterAutospacing="1"/>
    </w:pPr>
  </w:style>
  <w:style w:type="paragraph" w:customStyle="1" w:styleId="cs2654ae3a">
    <w:name w:val="cs2654ae3a"/>
    <w:basedOn w:val="a"/>
  </w:style>
  <w:style w:type="paragraph" w:customStyle="1" w:styleId="csdaae5f7">
    <w:name w:val="csdaae5f7"/>
    <w:basedOn w:val="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cs278cd679">
    <w:name w:val="cs278cd679"/>
    <w:basedOn w:val="a"/>
    <w:pPr>
      <w:spacing w:before="100" w:beforeAutospacing="1" w:after="100" w:afterAutospacing="1"/>
    </w:pPr>
  </w:style>
  <w:style w:type="paragraph" w:customStyle="1" w:styleId="csd691eb1b">
    <w:name w:val="csd691eb1b"/>
    <w:basedOn w:val="a"/>
    <w:pPr>
      <w:spacing w:before="100" w:beforeAutospacing="1" w:after="100" w:afterAutospacing="1"/>
    </w:pPr>
  </w:style>
  <w:style w:type="paragraph" w:customStyle="1" w:styleId="cs7a9848a3">
    <w:name w:val="cs7a9848a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ace105b">
    <w:name w:val="cs5ace105b"/>
    <w:basedOn w:val="a"/>
    <w:pPr>
      <w:spacing w:before="100" w:beforeAutospacing="1" w:after="100" w:afterAutospacing="1"/>
    </w:pPr>
    <w:rPr>
      <w:rFonts w:ascii="Courier New" w:hAnsi="Courier New" w:cs="Courier New"/>
      <w:color w:val="000000"/>
      <w:sz w:val="16"/>
      <w:szCs w:val="16"/>
    </w:rPr>
  </w:style>
  <w:style w:type="paragraph" w:customStyle="1" w:styleId="cs560850c6">
    <w:name w:val="cs560850c6"/>
    <w:basedOn w:val="a"/>
    <w:pPr>
      <w:spacing w:before="100" w:beforeAutospacing="1" w:after="100" w:afterAutospacing="1"/>
    </w:pPr>
  </w:style>
  <w:style w:type="paragraph" w:customStyle="1" w:styleId="csa33de675">
    <w:name w:val="csa33de675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cs7c1f8b9d">
    <w:name w:val="cs7c1f8b9d"/>
    <w:basedOn w:val="a"/>
    <w:pPr>
      <w:jc w:val="right"/>
    </w:pPr>
  </w:style>
  <w:style w:type="paragraph" w:customStyle="1" w:styleId="cs46a4ba77">
    <w:name w:val="cs46a4ba77"/>
    <w:basedOn w:val="a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0f5598e">
    <w:name w:val="csc0f5598e"/>
    <w:basedOn w:val="a"/>
    <w:pPr>
      <w:jc w:val="center"/>
    </w:pPr>
  </w:style>
  <w:style w:type="paragraph" w:customStyle="1" w:styleId="csdba5a960">
    <w:name w:val="csdba5a960"/>
    <w:basedOn w:val="a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1c11a888">
    <w:name w:val="cs1c11a888"/>
    <w:basedOn w:val="a"/>
    <w:pPr>
      <w:spacing w:before="100" w:beforeAutospacing="1" w:after="100" w:afterAutospacing="1"/>
    </w:pPr>
    <w:rPr>
      <w:rFonts w:ascii="Courier New" w:hAnsi="Courier New" w:cs="Courier New"/>
      <w:color w:val="000000"/>
      <w:sz w:val="16"/>
      <w:szCs w:val="16"/>
      <w:u w:val="single"/>
    </w:rPr>
  </w:style>
  <w:style w:type="paragraph" w:customStyle="1" w:styleId="cs430a9416">
    <w:name w:val="cs430a9416"/>
    <w:basedOn w:val="a"/>
  </w:style>
  <w:style w:type="paragraph" w:customStyle="1" w:styleId="cscdf190b1">
    <w:name w:val="cscdf190b1"/>
    <w:basedOn w:val="a"/>
    <w:pPr>
      <w:jc w:val="right"/>
    </w:pPr>
  </w:style>
  <w:style w:type="paragraph" w:customStyle="1" w:styleId="csbbdd4ae1">
    <w:name w:val="csbbdd4ae1"/>
    <w:basedOn w:val="a"/>
    <w:pPr>
      <w:spacing w:before="100" w:beforeAutospacing="1" w:after="100" w:afterAutospacing="1"/>
      <w:jc w:val="right"/>
    </w:pPr>
  </w:style>
  <w:style w:type="paragraph" w:customStyle="1" w:styleId="cs23fb0664">
    <w:name w:val="cs23fb0664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cs102784">
    <w:name w:val="cs10278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sd270a203">
    <w:name w:val="csd270a203"/>
    <w:basedOn w:val="a"/>
    <w:pPr>
      <w:jc w:val="both"/>
    </w:pPr>
  </w:style>
  <w:style w:type="paragraph" w:customStyle="1" w:styleId="csac5f9ec8">
    <w:name w:val="csac5f9ec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8f6d76">
    <w:name w:val="csc8f6d76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cs2765e325">
    <w:name w:val="cs2765e325"/>
    <w:basedOn w:val="a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35858e">
    <w:name w:val="cs235858e"/>
    <w:basedOn w:val="a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f346a59">
    <w:name w:val="cs7f346a59"/>
    <w:basedOn w:val="a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57f83d2">
    <w:name w:val="csa57f83d2"/>
    <w:basedOn w:val="a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530bd3d">
    <w:name w:val="csa530bd3d"/>
    <w:basedOn w:val="a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b926006">
    <w:name w:val="cs5b926006"/>
    <w:basedOn w:val="a"/>
    <w:pPr>
      <w:spacing w:before="100" w:beforeAutospacing="1" w:after="100" w:afterAutospacing="1"/>
      <w:ind w:left="96"/>
    </w:pPr>
  </w:style>
  <w:style w:type="paragraph" w:customStyle="1" w:styleId="cs6fcaa724">
    <w:name w:val="cs6fcaa724"/>
    <w:basedOn w:val="a"/>
    <w:pPr>
      <w:spacing w:before="100" w:beforeAutospacing="1" w:after="100" w:afterAutospacing="1"/>
    </w:pPr>
  </w:style>
  <w:style w:type="paragraph" w:customStyle="1" w:styleId="csc6cdc636">
    <w:name w:val="csc6cdc636"/>
    <w:basedOn w:val="a"/>
    <w:pPr>
      <w:spacing w:before="100" w:beforeAutospacing="1" w:after="100" w:afterAutospacing="1"/>
    </w:pPr>
  </w:style>
  <w:style w:type="paragraph" w:customStyle="1" w:styleId="cs79da67e2">
    <w:name w:val="cs79da67e2"/>
    <w:basedOn w:val="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cs836eca4b">
    <w:name w:val="cs836eca4b"/>
    <w:basedOn w:val="a"/>
    <w:pPr>
      <w:spacing w:before="100" w:beforeAutospacing="1" w:after="100" w:afterAutospacing="1"/>
    </w:pPr>
    <w:rPr>
      <w:color w:val="000000"/>
      <w:sz w:val="20"/>
      <w:szCs w:val="20"/>
      <w:u w:val="single"/>
    </w:rPr>
  </w:style>
  <w:style w:type="paragraph" w:customStyle="1" w:styleId="cs8330f041">
    <w:name w:val="cs8330f041"/>
    <w:basedOn w:val="a"/>
    <w:pPr>
      <w:spacing w:before="100" w:beforeAutospacing="1" w:after="100" w:afterAutospacing="1"/>
    </w:pPr>
  </w:style>
  <w:style w:type="paragraph" w:customStyle="1" w:styleId="csbfdd93d4">
    <w:name w:val="csbfdd93d4"/>
    <w:basedOn w:val="a"/>
    <w:pPr>
      <w:spacing w:before="100" w:beforeAutospacing="1" w:after="100" w:afterAutospacing="1"/>
      <w:jc w:val="center"/>
    </w:pPr>
  </w:style>
  <w:style w:type="paragraph" w:customStyle="1" w:styleId="cs91526577">
    <w:name w:val="cs91526577"/>
    <w:basedOn w:val="a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cscdaa043c">
    <w:name w:val="cscdaa043c"/>
    <w:basedOn w:val="a"/>
    <w:pPr>
      <w:spacing w:before="100" w:beforeAutospacing="1" w:after="100" w:afterAutospacing="1"/>
    </w:pPr>
  </w:style>
  <w:style w:type="paragraph" w:customStyle="1" w:styleId="cs75c3c6e">
    <w:name w:val="cs75c3c6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4aac840b">
    <w:name w:val="cs4aac840b"/>
    <w:basedOn w:val="a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69b1103">
    <w:name w:val="csc69b1103"/>
    <w:basedOn w:val="a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sd5f0c6c7">
    <w:name w:val="csd5f0c6c7"/>
    <w:basedOn w:val="a"/>
    <w:pPr>
      <w:spacing w:before="100" w:beforeAutospacing="1" w:after="100" w:afterAutospacing="1"/>
    </w:pPr>
  </w:style>
  <w:style w:type="paragraph" w:customStyle="1" w:styleId="cse5cc87a6">
    <w:name w:val="cse5cc87a6"/>
    <w:basedOn w:val="a"/>
    <w:pPr>
      <w:spacing w:before="100" w:beforeAutospacing="1" w:after="100" w:afterAutospacing="1"/>
    </w:pPr>
  </w:style>
  <w:style w:type="paragraph" w:customStyle="1" w:styleId="cs8d9b5b0c">
    <w:name w:val="cs8d9b5b0c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8"/>
      <w:szCs w:val="8"/>
    </w:rPr>
  </w:style>
  <w:style w:type="paragraph" w:customStyle="1" w:styleId="csf1ead562">
    <w:name w:val="csf1ead562"/>
    <w:basedOn w:val="a"/>
    <w:pPr>
      <w:spacing w:before="100" w:beforeAutospacing="1" w:after="100" w:afterAutospacing="1"/>
    </w:pPr>
  </w:style>
  <w:style w:type="paragraph" w:customStyle="1" w:styleId="cs965b750">
    <w:name w:val="cs965b750"/>
    <w:basedOn w:val="a"/>
    <w:pPr>
      <w:spacing w:before="100" w:beforeAutospacing="1" w:after="100" w:afterAutospacing="1"/>
    </w:pPr>
  </w:style>
  <w:style w:type="paragraph" w:customStyle="1" w:styleId="cs4c5a3c2a">
    <w:name w:val="cs4c5a3c2a"/>
    <w:basedOn w:val="a"/>
    <w:pPr>
      <w:spacing w:before="100" w:beforeAutospacing="1" w:after="100" w:afterAutospacing="1"/>
    </w:pPr>
  </w:style>
  <w:style w:type="paragraph" w:customStyle="1" w:styleId="cse0a30aad">
    <w:name w:val="cse0a30aad"/>
    <w:basedOn w:val="a"/>
    <w:pPr>
      <w:spacing w:before="100" w:beforeAutospacing="1" w:after="100" w:afterAutospacing="1"/>
    </w:pPr>
  </w:style>
  <w:style w:type="paragraph" w:customStyle="1" w:styleId="cs4f869626">
    <w:name w:val="cs4f869626"/>
    <w:basedOn w:val="a"/>
    <w:pPr>
      <w:spacing w:before="100" w:beforeAutospacing="1" w:after="100" w:afterAutospacing="1"/>
    </w:pPr>
  </w:style>
  <w:style w:type="paragraph" w:customStyle="1" w:styleId="cs84a5efa2">
    <w:name w:val="cs84a5efa2"/>
    <w:basedOn w:val="a"/>
    <w:pPr>
      <w:spacing w:before="100" w:beforeAutospacing="1" w:after="100" w:afterAutospacing="1"/>
    </w:pPr>
  </w:style>
  <w:style w:type="paragraph" w:customStyle="1" w:styleId="cs572e7917">
    <w:name w:val="cs572e7917"/>
    <w:basedOn w:val="a"/>
    <w:pPr>
      <w:ind w:left="-240" w:firstLine="240"/>
    </w:pPr>
  </w:style>
  <w:style w:type="paragraph" w:customStyle="1" w:styleId="cs47f446fc">
    <w:name w:val="cs47f446fc"/>
    <w:basedOn w:val="a"/>
    <w:pPr>
      <w:ind w:left="-500"/>
      <w:jc w:val="center"/>
    </w:pPr>
  </w:style>
  <w:style w:type="paragraph" w:customStyle="1" w:styleId="cs74319e24">
    <w:name w:val="cs74319e24"/>
    <w:basedOn w:val="a"/>
    <w:pPr>
      <w:spacing w:before="100" w:beforeAutospacing="1" w:after="100" w:afterAutospacing="1"/>
    </w:pPr>
  </w:style>
  <w:style w:type="character" w:customStyle="1" w:styleId="cs1e88c66e1">
    <w:name w:val="cs1e88c66e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ace105b1">
    <w:name w:val="cs5ace105b1"/>
    <w:basedOn w:val="a0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c11a8881">
    <w:name w:val="cs1c11a8881"/>
    <w:basedOn w:val="a0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23fb06641">
    <w:name w:val="cs23fb0664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1027841">
    <w:name w:val="cs102784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8f6d761">
    <w:name w:val="csc8f6d761"/>
    <w:basedOn w:val="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79da67e21">
    <w:name w:val="cs79da67e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36eca4b1">
    <w:name w:val="cs836eca4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915265771">
    <w:name w:val="cs915265771"/>
    <w:basedOn w:val="a0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c69b11031">
    <w:name w:val="csc69b1103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8d9b5b0c1">
    <w:name w:val="cs8d9b5b0c1"/>
    <w:basedOn w:val="a0"/>
    <w:rPr>
      <w:rFonts w:ascii="Calibri" w:hAnsi="Calibri" w:cs="Calibri" w:hint="default"/>
      <w:b w:val="0"/>
      <w:bCs w:val="0"/>
      <w:i w:val="0"/>
      <w:iCs w:val="0"/>
      <w:color w:val="000000"/>
      <w:sz w:val="8"/>
      <w:szCs w:val="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lnet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LoDos</dc:creator>
  <cp:keywords/>
  <dc:description/>
  <cp:lastModifiedBy>John LoDos</cp:lastModifiedBy>
  <cp:revision>2</cp:revision>
  <dcterms:created xsi:type="dcterms:W3CDTF">2019-04-10T13:31:00Z</dcterms:created>
  <dcterms:modified xsi:type="dcterms:W3CDTF">2019-04-10T13:31:00Z</dcterms:modified>
</cp:coreProperties>
</file>